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</w:t>
      </w:r>
      <w:r/>
    </w:p>
    <w:p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ПРАВИТЕЛЬСТВО Е</w:t>
      </w:r>
      <w:r>
        <w:rPr>
          <w:rFonts w:ascii="Times New Roman" w:hAnsi="Times New Roman"/>
          <w:sz w:val="32"/>
          <w:szCs w:val="32"/>
        </w:rPr>
        <w:t xml:space="preserve">ВРЕЙСКОЙ АВТОНОМНОЙ ОБЛАСТИ</w:t>
      </w:r>
      <w:r/>
    </w:p>
    <w:p>
      <w:pPr>
        <w:jc w:val="center"/>
        <w:spacing w:line="240" w:lineRule="auto"/>
        <w:rPr>
          <w:rFonts w:ascii="Times New Roman" w:hAnsi="Times New Roman"/>
          <w:spacing w:val="28"/>
          <w:sz w:val="18"/>
          <w:szCs w:val="18"/>
        </w:rPr>
      </w:pPr>
      <w:r>
        <w:rPr>
          <w:rFonts w:ascii="Times New Roman" w:hAnsi="Times New Roman"/>
          <w:spacing w:val="28"/>
          <w:sz w:val="18"/>
          <w:szCs w:val="18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/>
    </w:p>
    <w:p>
      <w:pPr>
        <w:spacing w:before="20" w:line="240" w:lineRule="auto"/>
        <w:tabs>
          <w:tab w:val="left" w:pos="13467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                                                                                                                          № _________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</w:p>
    <w:p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⌐    </w:t>
      </w:r>
      <w:r/>
    </w:p>
    <w:p>
      <w:pPr>
        <w:jc w:val="both"/>
        <w:spacing w:after="0" w:line="240" w:lineRule="auto"/>
        <w:tabs>
          <w:tab w:val="left" w:pos="746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</w:t>
      </w:r>
      <w:r>
        <w:rPr>
          <w:rFonts w:ascii="Times New Roman" w:hAnsi="Times New Roman" w:cs="Times New Roman"/>
          <w:sz w:val="28"/>
          <w:szCs w:val="28"/>
        </w:rPr>
        <w:t xml:space="preserve">х звание «Почетный гражданин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pStyle w:val="8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21 закона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Закон ЕАО от 27.02.2002 № 41-ОЗ </w:t>
      </w:r>
      <w:r>
        <w:rPr>
          <w:rFonts w:ascii="Times New Roman" w:hAnsi="Times New Roman" w:cs="Times New Roman"/>
          <w:sz w:val="28"/>
          <w:szCs w:val="28"/>
        </w:rPr>
        <w:t xml:space="preserve">«О почетном звании «Почетный гражданин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имеющих звание «Почетный гражданин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0"/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Губернатор области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983"/>
        <w:gridCol w:w="42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области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№_______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имеющих звание «Почетный гражданин Еврейской автономной области»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numPr>
          <w:ilvl w:val="0"/>
          <w:numId w:val="5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тоящий Порядок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имеющих звание «Почетный гражданин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- Порядок) определяет механизм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гражданами, имеющими звание «Почетный гражданин Еврейской автономной области» (далее – Почетный гражданин)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лекарственных препаратов по рецептам врача (фельдшера).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numPr>
          <w:ilvl w:val="0"/>
          <w:numId w:val="5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Почетные граждане обеспечиваются лекарственными препаратами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рецептам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врача (фельдшера)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амбулаторном лечении бесплатно.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Почетным гражданам лекарственных препаратов по рецептам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врача (фельдшера)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по предъявлении ими паспорта гражданина Российской Федерации (или иного документа, удостоверяющего личность гражданина и факт его проживания на территории Еврейской автономной области)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Почетным гражданам лекарственных препаратов по рецептам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врача (фельдшера)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при условии отуствия у Почетного гражданина прав на аналогичные меры социальной поддержки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в случае невозможности получения необходимых лекарственных препар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Почетным гражданам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назначение лекарственных препаратов либо отказ в назначении лекарственных препаратов осуществляется в соответствии с решением врачебной комиссии областного государственного бюджетного учреждения здравоохранения «Областная больница» (далее - 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иссия). Решение Комиссии принимается на основе документов о гражданах, представляемых областными государственными учреждениями здравоохранения. Порядок направления областными государственными учреждениями здравоохранения документов о гражданах для принятия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Комиссией решения о назначении лекарственных препаратов либо об отказе в назначении лекарственных препаратов устанавливается управлением здравоохранения правительства Еврейской автономной области.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Не допускается выписка лекарственных препаратов в количестве больше, чем требуется на курс лечения, указанном в медицинской карте амбулаторного больного. При назначении лекарственных препаратов для постоянного приема или длительной терапии дозы и количес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тво упаковок медикаментов не должны превышать для 30-дневного курса лечения, за исключением случаев, определенных нормативными правовыми актами Министерства здравоохранения Российской Федерации. Не допускается выписка лекарственных препаратов бесплатно граж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данам, находящимся на стационарном лечении (за исключением дневных стационаров при амбулаторно-поликлинических учреждениях).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Врач (фельдшер) областного государственного учреждения здравоохранения доводит до гражданина перечень аптечных организаций, с которыми заключен государственный контракт на отпуск лекарственных препаратов при амбулаторном лечении.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отсутствии лекарственного препарата, поставляемого в рамках государственных контрактов, специалисты аптечной организации могут осуществлять синонимическую замену лекарственного препарата на имеющийся в аптечной организации лекарственный препарат.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временного отсутствия лекарственного препарата специалисты аптечной организации, с которой заключен государственный контракт на отпуск лекарственных препаратов при амбулаторном лечении (далее - аптечная организация), осуществляют регистрацию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журнале отсроченного обслуживания с указанием контактных данных гражданина, возвращают гражданину рецепт, погашенный штампом аптечной организации (с указанием адреса и номера аптеки, отметкой даты постановки на отсроченное обеспечение), и организуют в течен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 15 рабочих дней с даты его обращения отсроченное обслуживание или осуществляют отпуск аналогичного лекарственного препарата, предусмотренного перечнем, взамен выписанного или иного лекарственного препарата по вновь выписанному рецепту.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поступлении лекарственных препаратов по рецептам, поставленным на отсроченное обеспечение, аптечные организации в течение одного рабочего дня информируют граждан (в том числе в письменной форме) о поступлении лекарственных препаратов и о сроках их 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ранения в аптечной организации. В случае если гражданин в течение 5 рабочих дней со дня уведомления о наличии поступившего лекарственного препарата не явился за предназначенными ему лекарственными препаратами, последние снимаются с хранения и передаются для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обеспечения по другим рецептам, о чем составляется акт.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Аптечные организации в обязательном порядке осуществляют ежедневный учет и обмен информацией с управлением здравоохранения правительства Еврейской автономной области об отпущенных рецептах и рецептах, принятых на отсроченное обеспечение.</w:t>
      </w:r>
      <w:r/>
    </w:p>
    <w:p>
      <w:pPr>
        <w:ind w:left="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49" w:bottom="937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/>
    <w:r/>
  </w:p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2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59" w:customStyle="1">
    <w:name w:val="Верхний колонтитул Знак"/>
    <w:basedOn w:val="855"/>
    <w:link w:val="858"/>
    <w:uiPriority w:val="99"/>
    <w:rPr>
      <w:rFonts w:cs="Times New Roman"/>
    </w:rPr>
  </w:style>
  <w:style w:type="paragraph" w:styleId="860" w:customStyle="1">
    <w:name w:val="ConsPlusNormal"/>
    <w:pPr>
      <w:spacing w:after="0" w:line="240" w:lineRule="auto"/>
      <w:widowControl w:val="off"/>
    </w:pPr>
    <w:rPr>
      <w:rFonts w:ascii="Calibri" w:hAnsi="Calibri" w:cs="Calibri"/>
      <w:szCs w:val="20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  <w:style w:type="paragraph" w:styleId="862">
    <w:name w:val="Footer"/>
    <w:basedOn w:val="854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5"/>
    <w:link w:val="862"/>
    <w:uiPriority w:val="99"/>
  </w:style>
  <w:style w:type="paragraph" w:styleId="864">
    <w:name w:val="Balloon Text"/>
    <w:basedOn w:val="854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0AC-C949-4146-8CB3-9BD67955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zakup_233-2</dc:creator>
  <cp:revision>12</cp:revision>
  <dcterms:created xsi:type="dcterms:W3CDTF">2023-03-26T23:50:00Z</dcterms:created>
  <dcterms:modified xsi:type="dcterms:W3CDTF">2023-06-08T08:06:12Z</dcterms:modified>
</cp:coreProperties>
</file>